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DC" w:rsidRDefault="00E000DC" w:rsidP="00E000DC">
      <w:r>
        <w:t xml:space="preserve">(Zadání: Upravte následující text podle pokynů uvedených v závorkách, pokyny v závorkách neupravujte, můžete je smazat, všechny nadpisy stejné úrovně mají stejný formát, jejich číslování je popsáno na konci textu. Formáty písem jsou uspořádány jako styl písma, velikost, </w:t>
      </w:r>
      <w:proofErr w:type="spellStart"/>
      <w:r>
        <w:t>eventuelně</w:t>
      </w:r>
      <w:proofErr w:type="spellEnd"/>
      <w:r>
        <w:t xml:space="preserve"> další </w:t>
      </w:r>
      <w:proofErr w:type="gramStart"/>
      <w:r>
        <w:t>parametry )</w:t>
      </w:r>
      <w:proofErr w:type="gramEnd"/>
    </w:p>
    <w:p w:rsidR="00E000DC" w:rsidRDefault="00E000DC" w:rsidP="00E000DC"/>
    <w:p w:rsidR="00E000DC" w:rsidRDefault="00E000DC" w:rsidP="007833DC">
      <w:pPr>
        <w:pStyle w:val="Nadpis1"/>
      </w:pPr>
      <w:r>
        <w:t xml:space="preserve">Zemní plyny (Nadpis první úrovně, </w:t>
      </w:r>
      <w:proofErr w:type="spellStart"/>
      <w:r>
        <w:t>Arial</w:t>
      </w:r>
      <w:proofErr w:type="spellEnd"/>
      <w:r>
        <w:t xml:space="preserve">, 13,5, tučné, předsazení 0,5cm, mezera před odstavcem 6 </w:t>
      </w:r>
      <w:proofErr w:type="spellStart"/>
      <w:r>
        <w:t>pt</w:t>
      </w:r>
      <w:proofErr w:type="spellEnd"/>
      <w:r>
        <w:t>)</w:t>
      </w:r>
    </w:p>
    <w:p w:rsidR="00E000DC" w:rsidRDefault="00E000DC" w:rsidP="00E000DC"/>
    <w:p w:rsidR="00E000DC" w:rsidRDefault="00E000DC" w:rsidP="009F48B8">
      <w:pPr>
        <w:pStyle w:val="Nadpis1"/>
      </w:pPr>
      <w:r>
        <w:t xml:space="preserve">Všeobecně (Nadpis </w:t>
      </w:r>
      <w:bookmarkStart w:id="0" w:name="_GoBack"/>
      <w:bookmarkEnd w:id="0"/>
      <w:r>
        <w:t xml:space="preserve">druhé úrovně, </w:t>
      </w:r>
      <w:proofErr w:type="spellStart"/>
      <w:r>
        <w:t>Arial</w:t>
      </w:r>
      <w:proofErr w:type="spellEnd"/>
      <w:r>
        <w:t>, 12, tučné, předsazení 0,63cm, mezera před odstavcem 6pt)</w:t>
      </w:r>
    </w:p>
    <w:p w:rsidR="00E000DC" w:rsidRPr="009F48B8" w:rsidRDefault="00E000DC" w:rsidP="009F48B8">
      <w:pPr>
        <w:rPr>
          <w:rFonts w:ascii="Arial Black" w:hAnsi="Arial Black"/>
          <w:sz w:val="23"/>
          <w:szCs w:val="23"/>
        </w:rPr>
      </w:pPr>
      <w:r w:rsidRPr="009F48B8">
        <w:rPr>
          <w:rFonts w:ascii="Arial Black" w:hAnsi="Arial Black"/>
          <w:sz w:val="23"/>
          <w:szCs w:val="23"/>
        </w:rPr>
        <w:t xml:space="preserve">Zemní plyny se těží samostatné nebo spolu s ropou </w:t>
      </w:r>
      <w:r w:rsidRPr="009F48B8">
        <w:rPr>
          <w:rFonts w:ascii="Arial Black" w:hAnsi="Arial Black"/>
          <w:sz w:val="23"/>
          <w:szCs w:val="23"/>
        </w:rPr>
        <w:t>(</w:t>
      </w:r>
      <w:proofErr w:type="spellStart"/>
      <w:r w:rsidRPr="009F48B8">
        <w:rPr>
          <w:rFonts w:ascii="Arial Black" w:hAnsi="Arial Black"/>
          <w:sz w:val="23"/>
          <w:szCs w:val="23"/>
        </w:rPr>
        <w:t>Arial</w:t>
      </w:r>
      <w:proofErr w:type="spellEnd"/>
      <w:r w:rsidRPr="009F48B8">
        <w:rPr>
          <w:rFonts w:ascii="Arial Black" w:hAnsi="Arial Black"/>
          <w:sz w:val="23"/>
          <w:szCs w:val="23"/>
        </w:rPr>
        <w:t xml:space="preserve"> </w:t>
      </w:r>
      <w:proofErr w:type="gramStart"/>
      <w:r w:rsidRPr="009F48B8">
        <w:rPr>
          <w:rFonts w:ascii="Arial Black" w:hAnsi="Arial Black"/>
          <w:sz w:val="23"/>
          <w:szCs w:val="23"/>
        </w:rPr>
        <w:t>Black,11,5</w:t>
      </w:r>
      <w:proofErr w:type="gramEnd"/>
      <w:r w:rsidRPr="009F48B8">
        <w:rPr>
          <w:rFonts w:ascii="Arial Black" w:hAnsi="Arial Black"/>
          <w:sz w:val="23"/>
          <w:szCs w:val="23"/>
        </w:rPr>
        <w:t>)</w:t>
      </w:r>
    </w:p>
    <w:p w:rsidR="00E000DC" w:rsidRDefault="00E000DC" w:rsidP="00E000DC"/>
    <w:p w:rsidR="00E000DC" w:rsidRDefault="00E000DC" w:rsidP="007833DC">
      <w:pPr>
        <w:pStyle w:val="Nadpis2"/>
      </w:pPr>
      <w:r>
        <w:t>Oddělení přírodního benzínu a zkapalněného topného plynu z mokrých zemních plynů absorpcí pracím olejem (Nadpis druhé úrovně)</w:t>
      </w:r>
    </w:p>
    <w:p w:rsidR="00E000DC" w:rsidRPr="007833DC" w:rsidRDefault="00E000DC" w:rsidP="007833DC">
      <w:pPr>
        <w:pStyle w:val="Nadpis5"/>
        <w:numPr>
          <w:ilvl w:val="0"/>
          <w:numId w:val="0"/>
        </w:numPr>
        <w:rPr>
          <w:rFonts w:ascii="Arial Narrow" w:hAnsi="Arial Narrow"/>
          <w:color w:val="auto"/>
          <w:sz w:val="21"/>
          <w:szCs w:val="21"/>
        </w:rPr>
      </w:pPr>
      <w:r w:rsidRPr="007833DC">
        <w:rPr>
          <w:rFonts w:ascii="Arial Narrow" w:hAnsi="Arial Narrow"/>
          <w:color w:val="auto"/>
          <w:sz w:val="21"/>
          <w:szCs w:val="21"/>
        </w:rPr>
        <w:t>Absorpční zařízení pracuje asi takto: (</w:t>
      </w:r>
      <w:proofErr w:type="spellStart"/>
      <w:r w:rsidRPr="007833DC">
        <w:rPr>
          <w:rFonts w:ascii="Arial Narrow" w:hAnsi="Arial Narrow"/>
          <w:color w:val="auto"/>
          <w:sz w:val="21"/>
          <w:szCs w:val="21"/>
        </w:rPr>
        <w:t>Arial</w:t>
      </w:r>
      <w:proofErr w:type="spellEnd"/>
      <w:r w:rsidRPr="007833DC">
        <w:rPr>
          <w:rFonts w:ascii="Arial Narrow" w:hAnsi="Arial Narrow"/>
          <w:color w:val="auto"/>
          <w:sz w:val="21"/>
          <w:szCs w:val="21"/>
        </w:rPr>
        <w:t xml:space="preserve"> </w:t>
      </w:r>
      <w:proofErr w:type="spellStart"/>
      <w:r w:rsidRPr="007833DC">
        <w:rPr>
          <w:rFonts w:ascii="Arial Narrow" w:hAnsi="Arial Narrow"/>
          <w:color w:val="auto"/>
          <w:sz w:val="21"/>
          <w:szCs w:val="21"/>
        </w:rPr>
        <w:t>Narrow</w:t>
      </w:r>
      <w:proofErr w:type="spellEnd"/>
      <w:r w:rsidRPr="007833DC">
        <w:rPr>
          <w:rFonts w:ascii="Arial Narrow" w:hAnsi="Arial Narrow"/>
          <w:color w:val="auto"/>
          <w:sz w:val="21"/>
          <w:szCs w:val="21"/>
        </w:rPr>
        <w:t>, 10,5)</w:t>
      </w:r>
    </w:p>
    <w:p w:rsidR="00E000DC" w:rsidRDefault="00E000DC" w:rsidP="00E000DC"/>
    <w:p w:rsidR="00E000DC" w:rsidRDefault="00E000DC" w:rsidP="009F48B8">
      <w:pPr>
        <w:pStyle w:val="Nadpis1"/>
      </w:pPr>
      <w:proofErr w:type="spellStart"/>
      <w:r>
        <w:t>Výšemolekulární</w:t>
      </w:r>
      <w:proofErr w:type="spellEnd"/>
      <w:r>
        <w:t xml:space="preserve">, za normálních poměrů kapalné </w:t>
      </w:r>
      <w:proofErr w:type="spellStart"/>
      <w:r>
        <w:t>parafinické</w:t>
      </w:r>
      <w:proofErr w:type="spellEnd"/>
      <w:r>
        <w:t xml:space="preserve"> uhlovodíky (C7-C20) z ropy (Nadpis první úrovně)</w:t>
      </w:r>
    </w:p>
    <w:p w:rsidR="00E000DC" w:rsidRDefault="00E000DC" w:rsidP="00E000DC"/>
    <w:p w:rsidR="00E000DC" w:rsidRPr="007833DC" w:rsidRDefault="00E000DC" w:rsidP="00E000DC">
      <w:pPr>
        <w:rPr>
          <w:rFonts w:ascii="Bookman Old Style" w:hAnsi="Bookman Old Style"/>
          <w:i/>
          <w:szCs w:val="24"/>
        </w:rPr>
      </w:pPr>
      <w:r w:rsidRPr="007833DC">
        <w:rPr>
          <w:rFonts w:ascii="Bookman Old Style" w:hAnsi="Bookman Old Style"/>
          <w:i/>
          <w:szCs w:val="24"/>
        </w:rPr>
        <w:t xml:space="preserve">Dříve než se budeme zabývat těmito </w:t>
      </w:r>
      <w:proofErr w:type="spellStart"/>
      <w:r w:rsidRPr="007833DC">
        <w:rPr>
          <w:rFonts w:ascii="Bookman Old Style" w:hAnsi="Bookman Old Style"/>
          <w:i/>
          <w:szCs w:val="24"/>
        </w:rPr>
        <w:t>parafinickými</w:t>
      </w:r>
      <w:proofErr w:type="spellEnd"/>
      <w:r w:rsidRPr="007833DC">
        <w:rPr>
          <w:rFonts w:ascii="Bookman Old Style" w:hAnsi="Bookman Old Style"/>
          <w:i/>
          <w:szCs w:val="24"/>
        </w:rPr>
        <w:t xml:space="preserve"> uhlovodíky, zmíníme se krátce o složení ropy a o jejím zpracování. (</w:t>
      </w:r>
      <w:proofErr w:type="spellStart"/>
      <w:r w:rsidRPr="007833DC">
        <w:rPr>
          <w:rFonts w:ascii="Bookman Old Style" w:hAnsi="Bookman Old Style"/>
          <w:i/>
          <w:szCs w:val="24"/>
        </w:rPr>
        <w:t>Bookman</w:t>
      </w:r>
      <w:proofErr w:type="spellEnd"/>
      <w:r w:rsidRPr="007833DC">
        <w:rPr>
          <w:rFonts w:ascii="Bookman Old Style" w:hAnsi="Bookman Old Style"/>
          <w:i/>
          <w:szCs w:val="24"/>
        </w:rPr>
        <w:t xml:space="preserve"> </w:t>
      </w:r>
      <w:proofErr w:type="spellStart"/>
      <w:r w:rsidRPr="007833DC">
        <w:rPr>
          <w:rFonts w:ascii="Bookman Old Style" w:hAnsi="Bookman Old Style"/>
          <w:i/>
          <w:szCs w:val="24"/>
        </w:rPr>
        <w:t>Old</w:t>
      </w:r>
      <w:proofErr w:type="spellEnd"/>
      <w:r w:rsidRPr="007833DC">
        <w:rPr>
          <w:rFonts w:ascii="Bookman Old Style" w:hAnsi="Bookman Old Style"/>
          <w:i/>
          <w:szCs w:val="24"/>
        </w:rPr>
        <w:t xml:space="preserve"> Style, 12, </w:t>
      </w:r>
      <w:proofErr w:type="spellStart"/>
      <w:r w:rsidRPr="007833DC">
        <w:rPr>
          <w:rFonts w:ascii="Bookman Old Style" w:hAnsi="Bookman Old Style"/>
          <w:i/>
          <w:szCs w:val="24"/>
        </w:rPr>
        <w:t>kursíva</w:t>
      </w:r>
      <w:proofErr w:type="spellEnd"/>
      <w:r w:rsidRPr="007833DC">
        <w:rPr>
          <w:rFonts w:ascii="Bookman Old Style" w:hAnsi="Bookman Old Style"/>
          <w:i/>
          <w:szCs w:val="24"/>
        </w:rPr>
        <w:t>)</w:t>
      </w:r>
    </w:p>
    <w:p w:rsidR="00E000DC" w:rsidRDefault="00E000DC" w:rsidP="00E000DC"/>
    <w:p w:rsidR="00E000DC" w:rsidRDefault="00E000DC" w:rsidP="007833DC">
      <w:pPr>
        <w:pStyle w:val="Nadpis2"/>
      </w:pPr>
      <w:r>
        <w:t>Složení rop (Nadpis druhé úrovně)</w:t>
      </w:r>
    </w:p>
    <w:p w:rsidR="00E000DC" w:rsidRPr="007833DC" w:rsidRDefault="00E000DC" w:rsidP="00E000DC">
      <w:pPr>
        <w:rPr>
          <w:rFonts w:ascii="Courier New" w:hAnsi="Courier New" w:cs="Courier New"/>
          <w:u w:val="single"/>
        </w:rPr>
      </w:pPr>
      <w:r w:rsidRPr="007833DC">
        <w:rPr>
          <w:rFonts w:ascii="Courier New" w:hAnsi="Courier New" w:cs="Courier New"/>
          <w:u w:val="single"/>
        </w:rPr>
        <w:t>Nejdůležitější surovinou pro petrochemii je vedle zemních plynů ropa. (</w:t>
      </w:r>
      <w:proofErr w:type="spellStart"/>
      <w:r w:rsidRPr="007833DC">
        <w:rPr>
          <w:rFonts w:ascii="Courier New" w:hAnsi="Courier New" w:cs="Courier New"/>
          <w:u w:val="single"/>
        </w:rPr>
        <w:t>Courier</w:t>
      </w:r>
      <w:proofErr w:type="spellEnd"/>
      <w:r w:rsidRPr="007833DC">
        <w:rPr>
          <w:rFonts w:ascii="Courier New" w:hAnsi="Courier New" w:cs="Courier New"/>
          <w:u w:val="single"/>
        </w:rPr>
        <w:t xml:space="preserve"> New, 11, podtržené)</w:t>
      </w:r>
    </w:p>
    <w:p w:rsidR="00E000DC" w:rsidRDefault="00E000DC" w:rsidP="00E000DC"/>
    <w:p w:rsidR="00E000DC" w:rsidRDefault="00E000DC" w:rsidP="007833DC">
      <w:pPr>
        <w:pStyle w:val="Nadpis2"/>
      </w:pPr>
      <w:r>
        <w:t>Zpracování ropy (destilace, krakování, lehké krakování - "</w:t>
      </w:r>
      <w:proofErr w:type="spellStart"/>
      <w:r>
        <w:t>viscosity</w:t>
      </w:r>
      <w:proofErr w:type="spellEnd"/>
      <w:r>
        <w:t xml:space="preserve"> </w:t>
      </w:r>
      <w:proofErr w:type="spellStart"/>
      <w:proofErr w:type="gramStart"/>
      <w:r>
        <w:t>breaking</w:t>
      </w:r>
      <w:proofErr w:type="spellEnd"/>
      <w:r>
        <w:t>") (Nadpis</w:t>
      </w:r>
      <w:proofErr w:type="gramEnd"/>
      <w:r>
        <w:t xml:space="preserve"> druhé úrovně)</w:t>
      </w:r>
    </w:p>
    <w:p w:rsidR="00E000DC" w:rsidRPr="007833DC" w:rsidRDefault="00E000DC" w:rsidP="00E000DC">
      <w:pPr>
        <w:rPr>
          <w:rFonts w:ascii="Garamond" w:hAnsi="Garamond"/>
          <w:sz w:val="25"/>
          <w:szCs w:val="25"/>
        </w:rPr>
      </w:pPr>
      <w:r w:rsidRPr="007833DC">
        <w:rPr>
          <w:rFonts w:ascii="Garamond" w:hAnsi="Garamond"/>
          <w:sz w:val="25"/>
          <w:szCs w:val="25"/>
        </w:rPr>
        <w:t>Destilací se ropa rozdělí na jednotlivé frakce. (Garamond, 12,5)</w:t>
      </w:r>
    </w:p>
    <w:p w:rsidR="00E000DC" w:rsidRDefault="00E000DC" w:rsidP="00E000DC"/>
    <w:p w:rsidR="00E000DC" w:rsidRDefault="00E000DC" w:rsidP="007833DC">
      <w:pPr>
        <w:pStyle w:val="Nadpis2"/>
      </w:pPr>
      <w:proofErr w:type="spellStart"/>
      <w:r>
        <w:t>Výšemolekulární</w:t>
      </w:r>
      <w:proofErr w:type="spellEnd"/>
      <w:r>
        <w:t xml:space="preserve"> </w:t>
      </w:r>
      <w:proofErr w:type="spellStart"/>
      <w:r>
        <w:t>parafinické</w:t>
      </w:r>
      <w:proofErr w:type="spellEnd"/>
      <w:r>
        <w:t xml:space="preserve"> uhlovodíky C7-C20 z ropy (Nadpis druhé úrovně)</w:t>
      </w:r>
    </w:p>
    <w:p w:rsidR="00E000DC" w:rsidRPr="007833DC" w:rsidRDefault="00E000DC" w:rsidP="00E000DC">
      <w:pPr>
        <w:rPr>
          <w:rFonts w:ascii="Impact" w:hAnsi="Impact"/>
          <w:sz w:val="20"/>
          <w:szCs w:val="20"/>
        </w:rPr>
      </w:pPr>
      <w:r w:rsidRPr="007833DC">
        <w:rPr>
          <w:rFonts w:ascii="Impact" w:hAnsi="Impact"/>
          <w:sz w:val="20"/>
          <w:szCs w:val="20"/>
        </w:rPr>
        <w:t xml:space="preserve">Uvážíme-li, že existuje mnoho izomerů nejen </w:t>
      </w:r>
      <w:proofErr w:type="spellStart"/>
      <w:r w:rsidRPr="007833DC">
        <w:rPr>
          <w:rFonts w:ascii="Impact" w:hAnsi="Impact"/>
          <w:sz w:val="20"/>
          <w:szCs w:val="20"/>
        </w:rPr>
        <w:t>parafinických</w:t>
      </w:r>
      <w:proofErr w:type="spellEnd"/>
      <w:r w:rsidRPr="007833DC">
        <w:rPr>
          <w:rFonts w:ascii="Impact" w:hAnsi="Impact"/>
          <w:sz w:val="20"/>
          <w:szCs w:val="20"/>
        </w:rPr>
        <w:t xml:space="preserve"> uhlovodíků, ale i uhlovodíků ostatních typů, (</w:t>
      </w:r>
      <w:proofErr w:type="spellStart"/>
      <w:r w:rsidRPr="007833DC">
        <w:rPr>
          <w:rFonts w:ascii="Impact" w:hAnsi="Impact"/>
          <w:sz w:val="20"/>
          <w:szCs w:val="20"/>
        </w:rPr>
        <w:t>Impact</w:t>
      </w:r>
      <w:proofErr w:type="spellEnd"/>
      <w:r w:rsidRPr="007833DC">
        <w:rPr>
          <w:rFonts w:ascii="Impact" w:hAnsi="Impact"/>
          <w:sz w:val="20"/>
          <w:szCs w:val="20"/>
        </w:rPr>
        <w:t>, 10)</w:t>
      </w:r>
    </w:p>
    <w:p w:rsidR="00E000DC" w:rsidRDefault="00E000DC" w:rsidP="00E000DC"/>
    <w:p w:rsidR="00E000DC" w:rsidRDefault="00E000DC" w:rsidP="007833DC">
      <w:pPr>
        <w:pStyle w:val="Nadpis2"/>
      </w:pPr>
      <w:r>
        <w:t xml:space="preserve">Oddělení </w:t>
      </w:r>
      <w:proofErr w:type="spellStart"/>
      <w:r>
        <w:t>parafinických</w:t>
      </w:r>
      <w:proofErr w:type="spellEnd"/>
      <w:r>
        <w:t xml:space="preserve"> uhlovodíků z ropných frakcí extrakční krystalizací za použití močoviny (Nadpis druhé úrovně)</w:t>
      </w:r>
    </w:p>
    <w:p w:rsidR="00E000DC" w:rsidRPr="007833DC" w:rsidRDefault="00E000DC" w:rsidP="00E000DC">
      <w:pPr>
        <w:rPr>
          <w:rFonts w:ascii="Tahoma" w:hAnsi="Tahoma" w:cs="Tahoma"/>
          <w:sz w:val="19"/>
          <w:szCs w:val="19"/>
        </w:rPr>
      </w:pPr>
      <w:r w:rsidRPr="007833DC">
        <w:rPr>
          <w:rFonts w:ascii="Tahoma" w:hAnsi="Tahoma" w:cs="Tahoma"/>
          <w:sz w:val="19"/>
          <w:szCs w:val="19"/>
        </w:rPr>
        <w:t xml:space="preserve">Dnes dovedeme z ropy a jejích frakcí oddělit za použití močoviny podíl </w:t>
      </w:r>
      <w:proofErr w:type="spellStart"/>
      <w:r w:rsidRPr="007833DC">
        <w:rPr>
          <w:rFonts w:ascii="Tahoma" w:hAnsi="Tahoma" w:cs="Tahoma"/>
          <w:sz w:val="19"/>
          <w:szCs w:val="19"/>
        </w:rPr>
        <w:t>parafinických</w:t>
      </w:r>
      <w:proofErr w:type="spellEnd"/>
      <w:r w:rsidRPr="007833DC">
        <w:rPr>
          <w:rFonts w:ascii="Tahoma" w:hAnsi="Tahoma" w:cs="Tahoma"/>
          <w:sz w:val="19"/>
          <w:szCs w:val="19"/>
        </w:rPr>
        <w:t xml:space="preserve"> uhlovodíků s rovnými řetězci. (</w:t>
      </w:r>
      <w:proofErr w:type="spellStart"/>
      <w:r w:rsidRPr="007833DC">
        <w:rPr>
          <w:rFonts w:ascii="Tahoma" w:hAnsi="Tahoma" w:cs="Tahoma"/>
          <w:sz w:val="19"/>
          <w:szCs w:val="19"/>
        </w:rPr>
        <w:t>Tahoma</w:t>
      </w:r>
      <w:proofErr w:type="spellEnd"/>
      <w:r w:rsidRPr="007833DC">
        <w:rPr>
          <w:rFonts w:ascii="Tahoma" w:hAnsi="Tahoma" w:cs="Tahoma"/>
          <w:sz w:val="19"/>
          <w:szCs w:val="19"/>
        </w:rPr>
        <w:t>, 9,5)</w:t>
      </w:r>
    </w:p>
    <w:p w:rsidR="00E000DC" w:rsidRDefault="00E000DC" w:rsidP="00E000DC"/>
    <w:p w:rsidR="00E000DC" w:rsidRDefault="00E000DC" w:rsidP="007833DC">
      <w:pPr>
        <w:pStyle w:val="Nadpis1"/>
      </w:pPr>
      <w:r>
        <w:t>Ropný parafín (Nadpis první úrovně)</w:t>
      </w:r>
    </w:p>
    <w:p w:rsidR="00E000DC" w:rsidRDefault="00E000DC" w:rsidP="00E000DC"/>
    <w:p w:rsidR="00E000DC" w:rsidRDefault="00E000DC" w:rsidP="005E6D41">
      <w:pPr>
        <w:pStyle w:val="Nadpis2"/>
      </w:pPr>
      <w:r>
        <w:t>Všeobecně (Nadpis druhé úrovně)</w:t>
      </w:r>
    </w:p>
    <w:p w:rsidR="00E000DC" w:rsidRDefault="00E000DC" w:rsidP="00E000DC">
      <w:r>
        <w:t xml:space="preserve">Ropný parafín odpadá při </w:t>
      </w:r>
      <w:proofErr w:type="spellStart"/>
      <w:r>
        <w:t>odparafínování</w:t>
      </w:r>
      <w:proofErr w:type="spellEnd"/>
      <w:r>
        <w:t xml:space="preserve"> olejových frakcí. (</w:t>
      </w:r>
      <w:proofErr w:type="spellStart"/>
      <w:r>
        <w:t>Times</w:t>
      </w:r>
      <w:proofErr w:type="spellEnd"/>
      <w:r>
        <w:t xml:space="preserve"> New </w:t>
      </w:r>
      <w:proofErr w:type="gramStart"/>
      <w:r>
        <w:t>Roman,11</w:t>
      </w:r>
      <w:proofErr w:type="gramEnd"/>
      <w:r>
        <w:t>)</w:t>
      </w:r>
    </w:p>
    <w:p w:rsidR="00E000DC" w:rsidRDefault="00E000DC" w:rsidP="00E000DC"/>
    <w:p w:rsidR="00E000DC" w:rsidRDefault="00E000DC" w:rsidP="005E6D41">
      <w:pPr>
        <w:pStyle w:val="Nadpis2"/>
      </w:pPr>
      <w:r>
        <w:t>Oddělování parafínu z olejových frakcí (Nadpis druhé úrovně)</w:t>
      </w:r>
    </w:p>
    <w:p w:rsidR="00E000DC" w:rsidRPr="005E6D41" w:rsidRDefault="00E000DC" w:rsidP="00E000DC">
      <w:pPr>
        <w:rPr>
          <w:rFonts w:ascii="Arial" w:hAnsi="Arial" w:cs="Arial"/>
          <w:color w:val="548DD4" w:themeColor="text2" w:themeTint="99"/>
          <w:szCs w:val="24"/>
        </w:rPr>
      </w:pPr>
      <w:proofErr w:type="spellStart"/>
      <w:r w:rsidRPr="005E6D41">
        <w:rPr>
          <w:rFonts w:ascii="Arial" w:hAnsi="Arial" w:cs="Arial"/>
          <w:color w:val="548DD4" w:themeColor="text2" w:themeTint="99"/>
          <w:szCs w:val="24"/>
        </w:rPr>
        <w:t>Odparafínování</w:t>
      </w:r>
      <w:proofErr w:type="spellEnd"/>
      <w:r w:rsidRPr="005E6D41">
        <w:rPr>
          <w:rFonts w:ascii="Arial" w:hAnsi="Arial" w:cs="Arial"/>
          <w:color w:val="548DD4" w:themeColor="text2" w:themeTint="99"/>
          <w:szCs w:val="24"/>
        </w:rPr>
        <w:t xml:space="preserve"> mazacích olejů se dnes převážně provádí rozpouštědly. (</w:t>
      </w:r>
      <w:proofErr w:type="spellStart"/>
      <w:r w:rsidRPr="005E6D41">
        <w:rPr>
          <w:rFonts w:ascii="Arial" w:hAnsi="Arial" w:cs="Arial"/>
          <w:color w:val="548DD4" w:themeColor="text2" w:themeTint="99"/>
          <w:szCs w:val="24"/>
        </w:rPr>
        <w:t>Arial</w:t>
      </w:r>
      <w:proofErr w:type="spellEnd"/>
      <w:r w:rsidRPr="005E6D41">
        <w:rPr>
          <w:rFonts w:ascii="Arial" w:hAnsi="Arial" w:cs="Arial"/>
          <w:color w:val="548DD4" w:themeColor="text2" w:themeTint="99"/>
          <w:szCs w:val="24"/>
        </w:rPr>
        <w:t>, 12, barva písma modrá)</w:t>
      </w:r>
    </w:p>
    <w:p w:rsidR="00E000DC" w:rsidRDefault="00E000DC" w:rsidP="00E000DC"/>
    <w:p w:rsidR="00E000DC" w:rsidRDefault="00E000DC" w:rsidP="005E6D41">
      <w:pPr>
        <w:pStyle w:val="Nadpis2"/>
      </w:pPr>
      <w:r>
        <w:t>Čištění parafínu (Nadpis druhé úrovně)</w:t>
      </w:r>
    </w:p>
    <w:p w:rsidR="00E000DC" w:rsidRPr="005E6D41" w:rsidRDefault="00E000DC" w:rsidP="005E6D41">
      <w:pPr>
        <w:rPr>
          <w:color w:val="FFFF00"/>
        </w:rPr>
      </w:pPr>
      <w:r w:rsidRPr="005E6D41">
        <w:rPr>
          <w:color w:val="FFFF00"/>
          <w:highlight w:val="darkMagenta"/>
        </w:rPr>
        <w:t xml:space="preserve">Parafíny odpadající při rozpouštědlovém </w:t>
      </w:r>
      <w:proofErr w:type="spellStart"/>
      <w:r w:rsidRPr="005E6D41">
        <w:rPr>
          <w:color w:val="FFFF00"/>
          <w:highlight w:val="darkMagenta"/>
        </w:rPr>
        <w:t>odparafínování</w:t>
      </w:r>
      <w:proofErr w:type="spellEnd"/>
      <w:r w:rsidRPr="005E6D41">
        <w:rPr>
          <w:color w:val="FFFF00"/>
          <w:highlight w:val="darkMagenta"/>
        </w:rPr>
        <w:t xml:space="preserve"> obsahují ještě 30-35% oleje a mají hnědou barvu. (</w:t>
      </w:r>
      <w:proofErr w:type="spellStart"/>
      <w:r w:rsidRPr="005E6D41">
        <w:rPr>
          <w:color w:val="FFFF00"/>
          <w:highlight w:val="darkMagenta"/>
        </w:rPr>
        <w:t>Arial</w:t>
      </w:r>
      <w:proofErr w:type="spellEnd"/>
      <w:r w:rsidRPr="005E6D41">
        <w:rPr>
          <w:color w:val="FFFF00"/>
          <w:highlight w:val="darkMagenta"/>
        </w:rPr>
        <w:t>, 12, barva, zvýraznění fialové, barva písma žlutá)</w:t>
      </w:r>
    </w:p>
    <w:p w:rsidR="00E000DC" w:rsidRDefault="00E000DC" w:rsidP="00E000DC"/>
    <w:p w:rsidR="00E000DC" w:rsidRDefault="00E000DC" w:rsidP="005E6D41">
      <w:pPr>
        <w:pStyle w:val="Nadpis2"/>
      </w:pPr>
      <w:r>
        <w:t>Možnosti zpracování parafínu (Nadpis druhé úrovně)</w:t>
      </w:r>
    </w:p>
    <w:p w:rsidR="00E000DC" w:rsidRPr="005E6D41" w:rsidRDefault="00E000DC" w:rsidP="00E000DC">
      <w:pPr>
        <w:rPr>
          <w:strike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5E6D41">
        <w:rPr>
          <w:strike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Ropný parafín je směs homologických parafínů převážně s rovnými řetězci. (</w:t>
      </w:r>
      <w:proofErr w:type="spellStart"/>
      <w:r w:rsidRPr="005E6D41">
        <w:rPr>
          <w:strike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Arial</w:t>
      </w:r>
      <w:proofErr w:type="spellEnd"/>
      <w:r w:rsidRPr="005E6D41">
        <w:rPr>
          <w:strike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, 12, písmo přeškrtnuté a stínované)</w:t>
      </w:r>
    </w:p>
    <w:p w:rsidR="00E000DC" w:rsidRDefault="00E000DC" w:rsidP="00E000DC"/>
    <w:p w:rsidR="001C58F6" w:rsidRDefault="00E000DC" w:rsidP="00E000DC">
      <w:r>
        <w:t>(Víceúrovňové číslování: Nadpisy první úrovně očíslovány římskými číslicemi s tečkou, čísla tučná. Nadpisy druhé úrovně očíslovány Velkými tiskacími písmeny s tečkou, písmena tučná.)</w:t>
      </w:r>
    </w:p>
    <w:p w:rsidR="001C58F6" w:rsidRPr="00E000DC" w:rsidRDefault="001C58F6" w:rsidP="00E000DC"/>
    <w:sectPr w:rsidR="001C58F6" w:rsidRPr="00E000D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30" w:rsidRDefault="00B01730" w:rsidP="00B01730">
      <w:pPr>
        <w:spacing w:after="0" w:line="240" w:lineRule="auto"/>
      </w:pPr>
      <w:r>
        <w:separator/>
      </w:r>
    </w:p>
  </w:endnote>
  <w:endnote w:type="continuationSeparator" w:id="0">
    <w:p w:rsidR="00B01730" w:rsidRDefault="00B01730" w:rsidP="00B01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730" w:rsidRDefault="00B01730">
    <w:pPr>
      <w:pStyle w:val="Zpat"/>
      <w:jc w:val="center"/>
    </w:pPr>
    <w:r>
      <w:t>-</w:t>
    </w:r>
    <w:sdt>
      <w:sdtPr>
        <w:id w:val="-13166463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280B">
          <w:rPr>
            <w:noProof/>
          </w:rPr>
          <w:t>4</w:t>
        </w:r>
        <w:r>
          <w:fldChar w:fldCharType="end"/>
        </w:r>
        <w:r>
          <w:t>-</w:t>
        </w:r>
      </w:sdtContent>
    </w:sdt>
  </w:p>
  <w:p w:rsidR="00B01730" w:rsidRDefault="00B0173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30" w:rsidRDefault="00B01730" w:rsidP="00B01730">
      <w:pPr>
        <w:spacing w:after="0" w:line="240" w:lineRule="auto"/>
      </w:pPr>
      <w:r>
        <w:separator/>
      </w:r>
    </w:p>
  </w:footnote>
  <w:footnote w:type="continuationSeparator" w:id="0">
    <w:p w:rsidR="00B01730" w:rsidRDefault="00B01730" w:rsidP="00B01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7E8"/>
    <w:multiLevelType w:val="hybridMultilevel"/>
    <w:tmpl w:val="BFA830AE"/>
    <w:lvl w:ilvl="0" w:tplc="89EEE1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853AC"/>
    <w:multiLevelType w:val="hybridMultilevel"/>
    <w:tmpl w:val="7B5AB140"/>
    <w:lvl w:ilvl="0" w:tplc="D4A2CF5A">
      <w:start w:val="1"/>
      <w:numFmt w:val="ordinal"/>
      <w:pStyle w:val="Nadpis2"/>
      <w:lvlText w:val="%1."/>
      <w:lvlJc w:val="left"/>
      <w:pPr>
        <w:ind w:left="1077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6082156B"/>
    <w:multiLevelType w:val="multilevel"/>
    <w:tmpl w:val="8E34DAD4"/>
    <w:lvl w:ilvl="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30"/>
    <w:rsid w:val="001C58F6"/>
    <w:rsid w:val="005E6D41"/>
    <w:rsid w:val="007833DC"/>
    <w:rsid w:val="009F48B8"/>
    <w:rsid w:val="00B01730"/>
    <w:rsid w:val="00D4064A"/>
    <w:rsid w:val="00E000DC"/>
    <w:rsid w:val="00E1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48B8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F48B8"/>
    <w:pPr>
      <w:keepNext/>
      <w:keepLines/>
      <w:pageBreakBefore/>
      <w:numPr>
        <w:numId w:val="3"/>
      </w:numPr>
      <w:spacing w:before="120" w:after="120"/>
      <w:outlineLvl w:val="0"/>
    </w:pPr>
    <w:rPr>
      <w:rFonts w:ascii="Arial" w:eastAsiaTheme="majorEastAsia" w:hAnsi="Arial" w:cstheme="majorBidi"/>
      <w:b/>
      <w:bCs/>
      <w:caps/>
      <w:sz w:val="27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F48B8"/>
    <w:pPr>
      <w:keepNext/>
      <w:keepLines/>
      <w:numPr>
        <w:numId w:val="2"/>
      </w:numPr>
      <w:spacing w:before="120" w:after="0"/>
      <w:outlineLvl w:val="1"/>
    </w:pPr>
    <w:rPr>
      <w:rFonts w:ascii="Arial" w:eastAsiaTheme="majorEastAsia" w:hAnsi="Arial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833DC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 Black" w:eastAsiaTheme="majorEastAsia" w:hAnsi="Arial Black" w:cstheme="majorBidi"/>
      <w:b/>
      <w:bCs/>
      <w:sz w:val="23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833DC"/>
    <w:pPr>
      <w:keepNext/>
      <w:keepLines/>
      <w:numPr>
        <w:ilvl w:val="3"/>
        <w:numId w:val="1"/>
      </w:numPr>
      <w:spacing w:before="200" w:after="0"/>
      <w:outlineLvl w:val="3"/>
    </w:pPr>
    <w:rPr>
      <w:rFonts w:ascii="Arial Narrow" w:eastAsiaTheme="majorEastAsia" w:hAnsi="Arial Narrow" w:cstheme="majorBidi"/>
      <w:b/>
      <w:bCs/>
      <w:i/>
      <w:iCs/>
      <w:sz w:val="2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58F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58F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58F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58F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58F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1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1730"/>
  </w:style>
  <w:style w:type="paragraph" w:styleId="Zpat">
    <w:name w:val="footer"/>
    <w:basedOn w:val="Normln"/>
    <w:link w:val="ZpatChar"/>
    <w:uiPriority w:val="99"/>
    <w:unhideWhenUsed/>
    <w:rsid w:val="00B01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1730"/>
  </w:style>
  <w:style w:type="character" w:customStyle="1" w:styleId="Nadpis1Char">
    <w:name w:val="Nadpis 1 Char"/>
    <w:basedOn w:val="Standardnpsmoodstavce"/>
    <w:link w:val="Nadpis1"/>
    <w:uiPriority w:val="9"/>
    <w:rsid w:val="009F48B8"/>
    <w:rPr>
      <w:rFonts w:ascii="Arial" w:eastAsiaTheme="majorEastAsia" w:hAnsi="Arial" w:cstheme="majorBidi"/>
      <w:b/>
      <w:bCs/>
      <w:caps/>
      <w:sz w:val="27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F48B8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833DC"/>
    <w:rPr>
      <w:rFonts w:ascii="Arial Black" w:eastAsiaTheme="majorEastAsia" w:hAnsi="Arial Black" w:cstheme="majorBidi"/>
      <w:b/>
      <w:bCs/>
      <w:sz w:val="23"/>
    </w:rPr>
  </w:style>
  <w:style w:type="character" w:customStyle="1" w:styleId="Nadpis4Char">
    <w:name w:val="Nadpis 4 Char"/>
    <w:basedOn w:val="Standardnpsmoodstavce"/>
    <w:link w:val="Nadpis4"/>
    <w:uiPriority w:val="9"/>
    <w:rsid w:val="007833DC"/>
    <w:rPr>
      <w:rFonts w:ascii="Arial Narrow" w:eastAsiaTheme="majorEastAsia" w:hAnsi="Arial Narrow" w:cstheme="majorBidi"/>
      <w:b/>
      <w:bCs/>
      <w:i/>
      <w:iCs/>
      <w:sz w:val="21"/>
    </w:rPr>
  </w:style>
  <w:style w:type="character" w:customStyle="1" w:styleId="Nadpis5Char">
    <w:name w:val="Nadpis 5 Char"/>
    <w:basedOn w:val="Standardnpsmoodstavce"/>
    <w:link w:val="Nadpis5"/>
    <w:uiPriority w:val="9"/>
    <w:rsid w:val="001C58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58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58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58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58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000DC"/>
    <w:pPr>
      <w:pageBreakBefore w:val="0"/>
      <w:numPr>
        <w:numId w:val="0"/>
      </w:numPr>
      <w:spacing w:after="0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E000DC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E000DC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E000D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00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48B8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F48B8"/>
    <w:pPr>
      <w:keepNext/>
      <w:keepLines/>
      <w:pageBreakBefore/>
      <w:numPr>
        <w:numId w:val="3"/>
      </w:numPr>
      <w:spacing w:before="120" w:after="120"/>
      <w:outlineLvl w:val="0"/>
    </w:pPr>
    <w:rPr>
      <w:rFonts w:ascii="Arial" w:eastAsiaTheme="majorEastAsia" w:hAnsi="Arial" w:cstheme="majorBidi"/>
      <w:b/>
      <w:bCs/>
      <w:caps/>
      <w:sz w:val="27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F48B8"/>
    <w:pPr>
      <w:keepNext/>
      <w:keepLines/>
      <w:numPr>
        <w:numId w:val="2"/>
      </w:numPr>
      <w:spacing w:before="120" w:after="0"/>
      <w:outlineLvl w:val="1"/>
    </w:pPr>
    <w:rPr>
      <w:rFonts w:ascii="Arial" w:eastAsiaTheme="majorEastAsia" w:hAnsi="Arial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833DC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 Black" w:eastAsiaTheme="majorEastAsia" w:hAnsi="Arial Black" w:cstheme="majorBidi"/>
      <w:b/>
      <w:bCs/>
      <w:sz w:val="23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833DC"/>
    <w:pPr>
      <w:keepNext/>
      <w:keepLines/>
      <w:numPr>
        <w:ilvl w:val="3"/>
        <w:numId w:val="1"/>
      </w:numPr>
      <w:spacing w:before="200" w:after="0"/>
      <w:outlineLvl w:val="3"/>
    </w:pPr>
    <w:rPr>
      <w:rFonts w:ascii="Arial Narrow" w:eastAsiaTheme="majorEastAsia" w:hAnsi="Arial Narrow" w:cstheme="majorBidi"/>
      <w:b/>
      <w:bCs/>
      <w:i/>
      <w:iCs/>
      <w:sz w:val="2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58F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58F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58F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58F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58F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1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1730"/>
  </w:style>
  <w:style w:type="paragraph" w:styleId="Zpat">
    <w:name w:val="footer"/>
    <w:basedOn w:val="Normln"/>
    <w:link w:val="ZpatChar"/>
    <w:uiPriority w:val="99"/>
    <w:unhideWhenUsed/>
    <w:rsid w:val="00B01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1730"/>
  </w:style>
  <w:style w:type="character" w:customStyle="1" w:styleId="Nadpis1Char">
    <w:name w:val="Nadpis 1 Char"/>
    <w:basedOn w:val="Standardnpsmoodstavce"/>
    <w:link w:val="Nadpis1"/>
    <w:uiPriority w:val="9"/>
    <w:rsid w:val="009F48B8"/>
    <w:rPr>
      <w:rFonts w:ascii="Arial" w:eastAsiaTheme="majorEastAsia" w:hAnsi="Arial" w:cstheme="majorBidi"/>
      <w:b/>
      <w:bCs/>
      <w:caps/>
      <w:sz w:val="27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F48B8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833DC"/>
    <w:rPr>
      <w:rFonts w:ascii="Arial Black" w:eastAsiaTheme="majorEastAsia" w:hAnsi="Arial Black" w:cstheme="majorBidi"/>
      <w:b/>
      <w:bCs/>
      <w:sz w:val="23"/>
    </w:rPr>
  </w:style>
  <w:style w:type="character" w:customStyle="1" w:styleId="Nadpis4Char">
    <w:name w:val="Nadpis 4 Char"/>
    <w:basedOn w:val="Standardnpsmoodstavce"/>
    <w:link w:val="Nadpis4"/>
    <w:uiPriority w:val="9"/>
    <w:rsid w:val="007833DC"/>
    <w:rPr>
      <w:rFonts w:ascii="Arial Narrow" w:eastAsiaTheme="majorEastAsia" w:hAnsi="Arial Narrow" w:cstheme="majorBidi"/>
      <w:b/>
      <w:bCs/>
      <w:i/>
      <w:iCs/>
      <w:sz w:val="21"/>
    </w:rPr>
  </w:style>
  <w:style w:type="character" w:customStyle="1" w:styleId="Nadpis5Char">
    <w:name w:val="Nadpis 5 Char"/>
    <w:basedOn w:val="Standardnpsmoodstavce"/>
    <w:link w:val="Nadpis5"/>
    <w:uiPriority w:val="9"/>
    <w:rsid w:val="001C58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58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58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58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58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000DC"/>
    <w:pPr>
      <w:pageBreakBefore w:val="0"/>
      <w:numPr>
        <w:numId w:val="0"/>
      </w:numPr>
      <w:spacing w:after="0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E000DC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E000DC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E000D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00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4A9F-88F3-404C-9D48-E0F7B9F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379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VSCHT Praha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Lazarkova Denisa</dc:creator>
  <cp:lastModifiedBy>Lazarkova Denisa</cp:lastModifiedBy>
  <cp:revision>1</cp:revision>
  <dcterms:created xsi:type="dcterms:W3CDTF">2014-09-15T06:53:00Z</dcterms:created>
  <dcterms:modified xsi:type="dcterms:W3CDTF">2014-09-15T08:23:00Z</dcterms:modified>
</cp:coreProperties>
</file>